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5D476302"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6B598C">
              <w:rPr>
                <w:rFonts w:ascii="Times New Roman" w:hAnsi="Times New Roman" w:cs="Times New Roman" w:hint="cs"/>
                <w:b/>
                <w:bCs/>
                <w:sz w:val="36"/>
                <w:szCs w:val="36"/>
                <w:rtl/>
                <w:lang w:bidi="ar-IQ"/>
              </w:rPr>
              <w:t>8342</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16AE194C"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6B598C" w:rsidRPr="006B598C">
              <w:rPr>
                <w:rFonts w:ascii="Times New Roman" w:hAnsi="Times New Roman" w:cs="Times New Roman"/>
                <w:b/>
                <w:bCs/>
                <w:sz w:val="36"/>
                <w:szCs w:val="36"/>
              </w:rPr>
              <w:t>A61K33/242</w:t>
            </w:r>
            <w:r w:rsidR="006B598C">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300D3CB8" w:rsidR="00D53226" w:rsidRDefault="00D53226" w:rsidP="00F97C67">
            <w:pPr>
              <w:tabs>
                <w:tab w:val="left" w:pos="2789"/>
              </w:tabs>
              <w:spacing w:after="0" w:line="240" w:lineRule="auto"/>
              <w:rPr>
                <w:rFonts w:ascii="Times New Roman" w:hAnsi="Times New Roman" w:cs="Times New Roman"/>
                <w:b/>
                <w:bCs/>
                <w:sz w:val="32"/>
                <w:szCs w:val="32"/>
                <w:rtl/>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6B598C">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1F10E987" w14:textId="77777777" w:rsidR="006B598C" w:rsidRDefault="006B598C" w:rsidP="00F97C67">
            <w:pPr>
              <w:spacing w:after="0" w:line="240" w:lineRule="auto"/>
              <w:rPr>
                <w:rFonts w:ascii="Times New Roman" w:hAnsi="Times New Roman" w:cs="Times New Roman"/>
                <w:sz w:val="32"/>
                <w:szCs w:val="32"/>
                <w:rtl/>
                <w:lang w:bidi="ar-IQ"/>
              </w:rPr>
            </w:pPr>
          </w:p>
          <w:p w14:paraId="36C76FEE" w14:textId="69EAEB13" w:rsidR="006B598C" w:rsidRPr="006B598C" w:rsidRDefault="003A3186" w:rsidP="006B598C">
            <w:pPr>
              <w:spacing w:after="0" w:line="240" w:lineRule="auto"/>
              <w:jc w:val="center"/>
              <w:rPr>
                <w:rFonts w:ascii="Times New Roman" w:hAnsi="Times New Roman" w:cs="Times New Roman"/>
                <w:b/>
                <w:bCs/>
                <w:sz w:val="28"/>
                <w:szCs w:val="28"/>
                <w:lang w:bidi="ar-IQ"/>
              </w:rPr>
            </w:pPr>
            <w:r>
              <w:rPr>
                <w:rFonts w:ascii="Times New Roman" w:hAnsi="Times New Roman" w:cs="Times New Roman"/>
                <w:b/>
                <w:bCs/>
                <w:noProof/>
                <w:sz w:val="28"/>
                <w:szCs w:val="28"/>
                <w:rtl/>
                <w:lang w:val="ar-IQ" w:bidi="ar-IQ"/>
              </w:rPr>
              <mc:AlternateContent>
                <mc:Choice Requires="wps">
                  <w:drawing>
                    <wp:anchor distT="0" distB="0" distL="114300" distR="114300" simplePos="0" relativeHeight="251659264" behindDoc="0" locked="0" layoutInCell="1" allowOverlap="1" wp14:anchorId="744933C2" wp14:editId="049868C2">
                      <wp:simplePos x="0" y="0"/>
                      <wp:positionH relativeFrom="column">
                        <wp:posOffset>570865</wp:posOffset>
                      </wp:positionH>
                      <wp:positionV relativeFrom="paragraph">
                        <wp:posOffset>15631</wp:posOffset>
                      </wp:positionV>
                      <wp:extent cx="182880" cy="309489"/>
                      <wp:effectExtent l="0" t="0" r="26670" b="14605"/>
                      <wp:wrapNone/>
                      <wp:docPr id="1280258291" name="Left Brace 1"/>
                      <wp:cNvGraphicFramePr/>
                      <a:graphic xmlns:a="http://schemas.openxmlformats.org/drawingml/2006/main">
                        <a:graphicData uri="http://schemas.microsoft.com/office/word/2010/wordprocessingShape">
                          <wps:wsp>
                            <wps:cNvSpPr/>
                            <wps:spPr>
                              <a:xfrm>
                                <a:off x="0" y="0"/>
                                <a:ext cx="182880" cy="309489"/>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4D773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44.95pt;margin-top:1.25pt;width:14.4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" adj="1064" strokecolor="#4472c4 [3204]" strokeweight=".5pt">
                      <v:stroke joinstyle="miter"/>
                    </v:shape>
                  </w:pict>
                </mc:Fallback>
              </mc:AlternateContent>
            </w:r>
            <w:r w:rsidR="006B598C" w:rsidRPr="006B598C">
              <w:rPr>
                <w:rFonts w:ascii="Times New Roman" w:hAnsi="Times New Roman" w:cs="Times New Roman"/>
                <w:b/>
                <w:bCs/>
                <w:sz w:val="28"/>
                <w:szCs w:val="28"/>
                <w:rtl/>
                <w:lang w:bidi="ar-IQ"/>
              </w:rPr>
              <w:t>م.م. رفل هشام جاسم</w:t>
            </w:r>
          </w:p>
          <w:p w14:paraId="3A60D8EF" w14:textId="1C696C91" w:rsidR="006B598C" w:rsidRPr="006B598C" w:rsidRDefault="006B598C" w:rsidP="006B598C">
            <w:pPr>
              <w:spacing w:after="0" w:line="240" w:lineRule="auto"/>
              <w:jc w:val="center"/>
              <w:rPr>
                <w:rFonts w:ascii="Times New Roman" w:hAnsi="Times New Roman" w:cs="Times New Roman"/>
                <w:b/>
                <w:bCs/>
                <w:sz w:val="28"/>
                <w:szCs w:val="28"/>
                <w:lang w:bidi="ar-IQ"/>
              </w:rPr>
            </w:pPr>
            <w:r w:rsidRPr="006B598C">
              <w:rPr>
                <w:rFonts w:ascii="Times New Roman" w:hAnsi="Times New Roman" w:cs="Times New Roman"/>
                <w:b/>
                <w:bCs/>
                <w:sz w:val="28"/>
                <w:szCs w:val="28"/>
                <w:rtl/>
                <w:lang w:bidi="ar-IQ"/>
              </w:rPr>
              <w:t>أ.م.د. نسرين خليل عبد الامير</w:t>
            </w:r>
          </w:p>
          <w:p w14:paraId="306F2776" w14:textId="77777777" w:rsidR="006B598C" w:rsidRPr="006B598C" w:rsidRDefault="006B598C" w:rsidP="006B598C">
            <w:pPr>
              <w:spacing w:after="0" w:line="240" w:lineRule="auto"/>
              <w:jc w:val="center"/>
              <w:rPr>
                <w:rFonts w:ascii="Times New Roman" w:hAnsi="Times New Roman" w:cs="Times New Roman"/>
                <w:b/>
                <w:bCs/>
                <w:sz w:val="28"/>
                <w:szCs w:val="28"/>
                <w:lang w:bidi="ar-IQ"/>
              </w:rPr>
            </w:pPr>
            <w:r w:rsidRPr="006B598C">
              <w:rPr>
                <w:rFonts w:ascii="Times New Roman" w:hAnsi="Times New Roman" w:cs="Times New Roman"/>
                <w:b/>
                <w:bCs/>
                <w:sz w:val="28"/>
                <w:szCs w:val="28"/>
                <w:rtl/>
                <w:lang w:bidi="ar-IQ"/>
              </w:rPr>
              <w:t>جامعة بغداد / كلية العلوم للبنات /قسم الفيزياء</w:t>
            </w:r>
          </w:p>
          <w:p w14:paraId="2A1EBF5B" w14:textId="41A3A694" w:rsidR="006B598C" w:rsidRPr="006B598C" w:rsidRDefault="006B598C" w:rsidP="006B598C">
            <w:pPr>
              <w:spacing w:after="0" w:line="240" w:lineRule="auto"/>
              <w:jc w:val="center"/>
              <w:rPr>
                <w:rFonts w:ascii="Times New Roman" w:hAnsi="Times New Roman" w:cs="Times New Roman"/>
                <w:b/>
                <w:bCs/>
                <w:sz w:val="28"/>
                <w:szCs w:val="28"/>
                <w:lang w:bidi="ar-IQ"/>
              </w:rPr>
            </w:pPr>
            <w:r w:rsidRPr="006B598C">
              <w:rPr>
                <w:rFonts w:ascii="Times New Roman" w:hAnsi="Times New Roman" w:cs="Times New Roman"/>
                <w:b/>
                <w:bCs/>
                <w:sz w:val="28"/>
                <w:szCs w:val="28"/>
                <w:rtl/>
                <w:lang w:bidi="ar-IQ"/>
              </w:rPr>
              <w:t>م. عثمان عبد فهد</w:t>
            </w:r>
          </w:p>
          <w:p w14:paraId="789FC5E5" w14:textId="77777777" w:rsidR="006B598C" w:rsidRPr="006B598C" w:rsidRDefault="006B598C" w:rsidP="006B598C">
            <w:pPr>
              <w:spacing w:after="0" w:line="240" w:lineRule="auto"/>
              <w:jc w:val="center"/>
              <w:rPr>
                <w:rFonts w:ascii="Times New Roman" w:hAnsi="Times New Roman" w:cs="Times New Roman"/>
                <w:b/>
                <w:bCs/>
                <w:sz w:val="28"/>
                <w:szCs w:val="28"/>
                <w:lang w:bidi="ar-IQ"/>
              </w:rPr>
            </w:pPr>
            <w:r w:rsidRPr="006B598C">
              <w:rPr>
                <w:rFonts w:ascii="Times New Roman" w:hAnsi="Times New Roman" w:cs="Times New Roman"/>
                <w:b/>
                <w:bCs/>
                <w:sz w:val="28"/>
                <w:szCs w:val="28"/>
                <w:rtl/>
                <w:lang w:bidi="ar-IQ"/>
              </w:rPr>
              <w:t>وزارة التربية/ المديرية العامة لتربية الانبار / قسم تربية قضاء الحبانية</w:t>
            </w:r>
          </w:p>
          <w:p w14:paraId="77C5FC0B" w14:textId="77777777" w:rsidR="006B598C" w:rsidRPr="006B598C" w:rsidRDefault="006B598C"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06DF3CF5"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6B598C">
              <w:rPr>
                <w:rFonts w:ascii="Times New Roman" w:hAnsi="Times New Roman" w:cs="Times New Roman"/>
                <w:b/>
                <w:bCs/>
                <w:sz w:val="32"/>
                <w:szCs w:val="32"/>
                <w:lang w:bidi="ar-IQ"/>
              </w:rPr>
              <w:t>IQ/00230419</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3D323BE0"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6B598C">
              <w:rPr>
                <w:rFonts w:ascii="Times New Roman" w:hAnsi="Times New Roman" w:cs="Times New Roman" w:hint="cs"/>
                <w:b/>
                <w:bCs/>
                <w:sz w:val="32"/>
                <w:szCs w:val="32"/>
                <w:rtl/>
                <w:lang w:bidi="ar-IQ"/>
              </w:rPr>
              <w:t>12/7/2023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4B2FD50B"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6B598C">
              <w:rPr>
                <w:rFonts w:ascii="Times New Roman" w:hAnsi="Times New Roman" w:cs="Times New Roman" w:hint="cs"/>
                <w:b/>
                <w:bCs/>
                <w:sz w:val="32"/>
                <w:szCs w:val="32"/>
                <w:rtl/>
                <w:lang w:bidi="ar-IQ"/>
              </w:rPr>
              <w:t>29/8/2024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12243691" w14:textId="77777777" w:rsidR="006B598C" w:rsidRDefault="006B598C"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124E196B" w14:textId="77777777" w:rsidR="006B598C" w:rsidRDefault="006B598C" w:rsidP="00F97C67">
            <w:pPr>
              <w:spacing w:after="0" w:line="240" w:lineRule="auto"/>
              <w:rPr>
                <w:rFonts w:ascii="Times New Roman" w:hAnsi="Times New Roman" w:cs="Times New Roman"/>
                <w:sz w:val="36"/>
                <w:szCs w:val="36"/>
                <w:lang w:bidi="ar-IQ"/>
              </w:rPr>
            </w:pPr>
          </w:p>
          <w:p w14:paraId="75A6A388" w14:textId="6EE9E10B" w:rsidR="00D53226" w:rsidRDefault="00D53226" w:rsidP="006B598C">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66DB9D08" w:rsidR="00D53226" w:rsidRPr="006B598C" w:rsidRDefault="00D53226" w:rsidP="006B598C">
            <w:pPr>
              <w:pStyle w:val="NoSpacing"/>
              <w:tabs>
                <w:tab w:val="left" w:pos="3267"/>
              </w:tabs>
              <w:jc w:val="center"/>
              <w:rPr>
                <w:b/>
                <w:bCs/>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6B598C" w:rsidRPr="006B598C">
              <w:rPr>
                <w:rFonts w:asciiTheme="majorBidi" w:eastAsiaTheme="minorEastAsia" w:hAnsiTheme="majorBidi" w:cstheme="majorBidi" w:hint="cs"/>
                <w:b/>
                <w:bCs/>
                <w:sz w:val="28"/>
                <w:szCs w:val="28"/>
                <w:rtl/>
                <w:lang w:eastAsia="en-GB" w:bidi="ar-IQ"/>
              </w:rPr>
              <w:t xml:space="preserve"> </w:t>
            </w:r>
            <w:r w:rsidR="006B598C" w:rsidRPr="006B598C">
              <w:rPr>
                <w:rFonts w:hint="cs"/>
                <w:b/>
                <w:bCs/>
                <w:sz w:val="28"/>
                <w:szCs w:val="28"/>
                <w:rtl/>
                <w:lang w:bidi="ar-IQ"/>
              </w:rPr>
              <w:t>تأثير البلازما غير الحرارية المنتجة تحت الضغط الجوي الاعتيادي على زيادة فعالية جسيمات الذهب النانوية المحضرة بايولوجياً ودراسة تأثيرها على الخط الخلوي لسرطان الرئة خارج جسم الكائن الحي</w:t>
            </w:r>
            <w:r w:rsidR="006B598C">
              <w:rPr>
                <w:rFonts w:hint="cs"/>
                <w:b/>
                <w:bCs/>
                <w:sz w:val="28"/>
                <w:szCs w:val="28"/>
                <w:rtl/>
                <w:lang w:bidi="ar-IQ"/>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4C80DDA0" w14:textId="77777777" w:rsidR="006B598C" w:rsidRPr="006B598C" w:rsidRDefault="006B598C" w:rsidP="006B598C">
            <w:pPr>
              <w:pStyle w:val="NoSpacing"/>
              <w:jc w:val="both"/>
              <w:rPr>
                <w:rFonts w:asciiTheme="majorBidi" w:hAnsiTheme="majorBidi" w:cstheme="majorBidi"/>
                <w:b/>
                <w:bCs/>
              </w:rPr>
            </w:pPr>
            <w:r w:rsidRPr="006B598C">
              <w:rPr>
                <w:rFonts w:asciiTheme="majorBidi" w:hAnsiTheme="majorBidi" w:cstheme="majorBidi"/>
                <w:b/>
                <w:bCs/>
                <w:rtl/>
                <w:lang w:bidi="ar-IQ"/>
              </w:rPr>
              <w:t xml:space="preserve">من اهم التقنيات الحديثة التي استخدمت في الآونة الاخيرة في توليف الجسيمات النانوية هي الطريقة </w:t>
            </w:r>
            <w:r w:rsidRPr="006B598C">
              <w:rPr>
                <w:rFonts w:ascii="Tahoma" w:hAnsi="Tahoma" w:cs="Tahoma"/>
                <w:b/>
                <w:bCs/>
              </w:rPr>
              <w:t>﻿</w:t>
            </w:r>
            <w:r w:rsidRPr="006B598C">
              <w:rPr>
                <w:rFonts w:asciiTheme="majorBidi" w:hAnsiTheme="majorBidi" w:cstheme="majorBidi"/>
                <w:b/>
                <w:bCs/>
                <w:rtl/>
                <w:lang w:bidi="ar-IQ"/>
              </w:rPr>
              <w:t xml:space="preserve"> الخضراء الصديقة للبيئة. </w:t>
            </w:r>
            <w:r w:rsidRPr="006B598C">
              <w:rPr>
                <w:rFonts w:ascii="Tahoma" w:hAnsi="Tahoma" w:cs="Tahoma"/>
                <w:b/>
                <w:bCs/>
              </w:rPr>
              <w:t>﻿</w:t>
            </w:r>
            <w:r w:rsidRPr="006B598C">
              <w:rPr>
                <w:rFonts w:asciiTheme="majorBidi" w:hAnsiTheme="majorBidi" w:cstheme="majorBidi"/>
                <w:b/>
                <w:bCs/>
                <w:rtl/>
                <w:lang w:bidi="ar-IQ"/>
              </w:rPr>
              <w:t xml:space="preserve"> حيث تعتبر احدى الطرق السهلة والسريعة والرخيصة والامنة بيئياً.  في هذه الدراسة تم توليف جسيمات الذهب النانوية باستخدام المستخلص المائي لنبات القرنفل</w:t>
            </w:r>
            <w:r w:rsidRPr="006B598C">
              <w:rPr>
                <w:rFonts w:ascii="Tahoma" w:hAnsi="Tahoma" w:cs="Tahoma" w:hint="cs"/>
                <w:b/>
                <w:bCs/>
                <w:rtl/>
                <w:lang w:bidi="ar-IQ"/>
              </w:rPr>
              <w:t>﻿</w:t>
            </w:r>
            <w:r w:rsidRPr="006B598C">
              <w:rPr>
                <w:rFonts w:asciiTheme="majorBidi" w:hAnsiTheme="majorBidi" w:cstheme="majorBidi"/>
                <w:b/>
                <w:bCs/>
                <w:rtl/>
                <w:lang w:bidi="ar-IQ"/>
              </w:rPr>
              <w:t xml:space="preserve"> كعامل اختزال وتغطية بطريقة الاستئصال بالليزر النبضي في السائل (</w:t>
            </w:r>
            <w:r w:rsidRPr="006B598C">
              <w:rPr>
                <w:rFonts w:asciiTheme="majorBidi" w:hAnsiTheme="majorBidi" w:cstheme="majorBidi"/>
                <w:b/>
                <w:bCs/>
              </w:rPr>
              <w:t>(PLAL</w:t>
            </w:r>
            <w:r w:rsidRPr="006B598C">
              <w:rPr>
                <w:rFonts w:asciiTheme="majorBidi" w:hAnsiTheme="majorBidi" w:cstheme="majorBidi"/>
                <w:b/>
                <w:bCs/>
                <w:rtl/>
                <w:lang w:bidi="ar-IQ"/>
              </w:rPr>
              <w:t xml:space="preserve"> وتم دراسة دور </w:t>
            </w:r>
            <w:r w:rsidRPr="006B598C">
              <w:rPr>
                <w:rFonts w:ascii="Tahoma" w:hAnsi="Tahoma" w:cs="Tahoma" w:hint="cs"/>
                <w:b/>
                <w:bCs/>
                <w:rtl/>
                <w:lang w:bidi="ar-IQ"/>
              </w:rPr>
              <w:t>﻿</w:t>
            </w:r>
            <w:r w:rsidRPr="006B598C">
              <w:rPr>
                <w:rFonts w:asciiTheme="majorBidi" w:hAnsiTheme="majorBidi" w:cstheme="majorBidi"/>
                <w:b/>
                <w:bCs/>
                <w:rtl/>
                <w:lang w:bidi="ar-IQ"/>
              </w:rPr>
              <w:t xml:space="preserve"> البلازما الباردة على الجسيمات المحضرة وتسمى هذه الطريقة بالطريقة الهجينة وهي طريقه حديثة استخدمت في اختراعنا هذا لأول مرة في تحسين فعالية وتوصيف الجسيمات النانوية باستخدام تقنيتي الليزر والبلازما. حيث لوحظ ان الجسيمات التي عوملت بالبلازما الباردة عند مدى تدفق غاز الارجون 3 لتر/دقيقة ولمدة تعريض 3 دقيقة وعلى مسافة </w:t>
            </w:r>
            <w:r w:rsidRPr="006B598C">
              <w:rPr>
                <w:rFonts w:asciiTheme="majorBidi" w:hAnsiTheme="majorBidi" w:cstheme="majorBidi"/>
                <w:b/>
                <w:bCs/>
              </w:rPr>
              <w:t>1</w:t>
            </w:r>
            <w:r w:rsidRPr="006B598C">
              <w:rPr>
                <w:rFonts w:asciiTheme="majorBidi" w:hAnsiTheme="majorBidi" w:cstheme="majorBidi"/>
                <w:b/>
                <w:bCs/>
                <w:rtl/>
                <w:lang w:bidi="ar-IQ"/>
              </w:rPr>
              <w:t xml:space="preserve"> سم من فوهة انبوبه التفريغ قد أعطت نتائج أفضل حيث تم التخلص من التكتل الحاصل للجسيمات وهذا بدوره يؤثر على التطبيق </w:t>
            </w:r>
            <w:r w:rsidRPr="006B598C">
              <w:rPr>
                <w:rFonts w:ascii="Tahoma" w:hAnsi="Tahoma" w:cs="Tahoma" w:hint="cs"/>
                <w:b/>
                <w:bCs/>
                <w:rtl/>
                <w:lang w:bidi="ar-IQ"/>
              </w:rPr>
              <w:t>﻿</w:t>
            </w:r>
            <w:r w:rsidRPr="006B598C">
              <w:rPr>
                <w:rFonts w:asciiTheme="majorBidi" w:hAnsiTheme="majorBidi" w:cstheme="majorBidi"/>
                <w:b/>
                <w:bCs/>
                <w:rtl/>
                <w:lang w:bidi="ar-IQ"/>
              </w:rPr>
              <w:t xml:space="preserve"> الطبي. </w:t>
            </w:r>
            <w:r w:rsidRPr="006B598C">
              <w:rPr>
                <w:rFonts w:ascii="Tahoma" w:hAnsi="Tahoma" w:cs="Tahoma" w:hint="cs"/>
                <w:b/>
                <w:bCs/>
                <w:rtl/>
                <w:lang w:bidi="ar-IQ"/>
              </w:rPr>
              <w:t>﻿</w:t>
            </w:r>
            <w:r w:rsidRPr="006B598C">
              <w:rPr>
                <w:rFonts w:asciiTheme="majorBidi" w:hAnsiTheme="majorBidi" w:cstheme="majorBidi"/>
                <w:b/>
                <w:bCs/>
                <w:rtl/>
                <w:lang w:bidi="ar-IQ"/>
              </w:rPr>
              <w:t xml:space="preserve">اظهرت القياسات البصرية ان قيمة فجوة الطاقة ازدادت عما كانت عليه في حالة الذهب النانوي النقي.  اما القياسات التركيبية فقد أظهرت ان الجسيمات المحضرة متعددة التبلور ولها نظام بلوري مكعب، ومن </w:t>
            </w:r>
            <w:r w:rsidRPr="006B598C">
              <w:rPr>
                <w:rFonts w:ascii="Tahoma" w:hAnsi="Tahoma" w:cs="Tahoma" w:hint="cs"/>
                <w:b/>
                <w:bCs/>
                <w:rtl/>
                <w:lang w:bidi="ar-IQ"/>
              </w:rPr>
              <w:t>﻿</w:t>
            </w:r>
            <w:r w:rsidRPr="006B598C">
              <w:rPr>
                <w:rFonts w:asciiTheme="majorBidi" w:hAnsiTheme="majorBidi" w:cstheme="majorBidi"/>
                <w:b/>
                <w:bCs/>
                <w:rtl/>
                <w:lang w:bidi="ar-IQ"/>
              </w:rPr>
              <w:t xml:space="preserve"> خلال المجهر الالكتروني الماسح توضح ان الجسيمات تمتلك شكل كروي وذات تكتل لكن بعد المعالجة بالبلازما قل الحجم الحبيبي وأصبحت الجسيمات اقل تكتلاً. تم في هذه الدراسة توظيف جسيمات الذهب النانوية في قياس السمية الخلوية لخطوط الخلايا </w:t>
            </w:r>
            <w:r w:rsidRPr="006B598C">
              <w:rPr>
                <w:rFonts w:ascii="Tahoma" w:hAnsi="Tahoma" w:cs="Tahoma" w:hint="cs"/>
                <w:b/>
                <w:bCs/>
                <w:rtl/>
                <w:lang w:bidi="ar-IQ"/>
              </w:rPr>
              <w:t>﻿</w:t>
            </w:r>
            <w:r w:rsidRPr="006B598C">
              <w:rPr>
                <w:rFonts w:asciiTheme="majorBidi" w:hAnsiTheme="majorBidi" w:cstheme="majorBidi"/>
                <w:b/>
                <w:bCs/>
                <w:rtl/>
                <w:lang w:bidi="ar-IQ"/>
              </w:rPr>
              <w:t xml:space="preserve"> الطبيعية </w:t>
            </w:r>
            <w:r w:rsidRPr="006B598C">
              <w:rPr>
                <w:rFonts w:asciiTheme="majorBidi" w:hAnsiTheme="majorBidi" w:cstheme="majorBidi"/>
                <w:b/>
                <w:bCs/>
              </w:rPr>
              <w:t>BEAS-2B</w:t>
            </w:r>
            <w:r w:rsidRPr="006B598C">
              <w:rPr>
                <w:rFonts w:asciiTheme="majorBidi" w:hAnsiTheme="majorBidi" w:cstheme="majorBidi"/>
                <w:b/>
                <w:bCs/>
                <w:rtl/>
                <w:lang w:bidi="ar-IQ"/>
              </w:rPr>
              <w:t xml:space="preserve"> وخطوط خلايا سرطان الرئة </w:t>
            </w:r>
            <w:r w:rsidRPr="006B598C">
              <w:rPr>
                <w:rFonts w:asciiTheme="majorBidi" w:hAnsiTheme="majorBidi" w:cstheme="majorBidi"/>
                <w:b/>
                <w:bCs/>
              </w:rPr>
              <w:t>A549</w:t>
            </w:r>
            <w:r w:rsidRPr="006B598C">
              <w:rPr>
                <w:rFonts w:asciiTheme="majorBidi" w:hAnsiTheme="majorBidi" w:cstheme="majorBidi"/>
                <w:b/>
                <w:bCs/>
                <w:rtl/>
                <w:lang w:bidi="ar-IQ"/>
              </w:rPr>
              <w:t xml:space="preserve"> باستخدام طريقة (</w:t>
            </w:r>
            <w:r w:rsidRPr="006B598C">
              <w:rPr>
                <w:rFonts w:asciiTheme="majorBidi" w:hAnsiTheme="majorBidi" w:cstheme="majorBidi"/>
                <w:b/>
                <w:bCs/>
              </w:rPr>
              <w:t>(CV</w:t>
            </w:r>
            <w:r w:rsidRPr="006B598C">
              <w:rPr>
                <w:rFonts w:asciiTheme="majorBidi" w:hAnsiTheme="majorBidi" w:cstheme="majorBidi"/>
                <w:b/>
                <w:bCs/>
                <w:rtl/>
                <w:lang w:bidi="ar-IQ"/>
              </w:rPr>
              <w:t xml:space="preserve"> بالاعتماد </w:t>
            </w:r>
            <w:r w:rsidRPr="006B598C">
              <w:rPr>
                <w:rFonts w:ascii="Tahoma" w:hAnsi="Tahoma" w:cs="Tahoma" w:hint="cs"/>
                <w:b/>
                <w:bCs/>
                <w:rtl/>
                <w:lang w:bidi="ar-IQ"/>
              </w:rPr>
              <w:t>﻿</w:t>
            </w:r>
            <w:r w:rsidRPr="006B598C">
              <w:rPr>
                <w:rFonts w:asciiTheme="majorBidi" w:hAnsiTheme="majorBidi" w:cstheme="majorBidi"/>
                <w:b/>
                <w:bCs/>
                <w:rtl/>
                <w:lang w:bidi="ar-IQ"/>
              </w:rPr>
              <w:t xml:space="preserve"> على الجرعة. وتم حساب التركيز المثبط </w:t>
            </w:r>
            <w:r w:rsidRPr="006B598C">
              <w:rPr>
                <w:rFonts w:asciiTheme="majorBidi" w:hAnsiTheme="majorBidi" w:cstheme="majorBidi"/>
                <w:b/>
                <w:bCs/>
              </w:rPr>
              <w:t>IC</w:t>
            </w:r>
            <w:r w:rsidRPr="006B598C">
              <w:rPr>
                <w:rFonts w:asciiTheme="majorBidi" w:hAnsiTheme="majorBidi" w:cstheme="majorBidi"/>
                <w:b/>
                <w:bCs/>
                <w:vertAlign w:val="subscript"/>
              </w:rPr>
              <w:t>50</w:t>
            </w:r>
            <w:r w:rsidRPr="006B598C">
              <w:rPr>
                <w:rFonts w:asciiTheme="majorBidi" w:hAnsiTheme="majorBidi" w:cstheme="majorBidi"/>
                <w:b/>
                <w:bCs/>
                <w:rtl/>
                <w:lang w:bidi="ar-IQ"/>
              </w:rPr>
              <w:t xml:space="preserve"> لجميع العينات. حيث أعطت اعلى نسبة تحطيم للخلايا السرطانية لخط سرطان الرئة </w:t>
            </w:r>
            <w:r w:rsidRPr="006B598C">
              <w:rPr>
                <w:rFonts w:asciiTheme="majorBidi" w:hAnsiTheme="majorBidi" w:cstheme="majorBidi"/>
                <w:b/>
                <w:bCs/>
              </w:rPr>
              <w:t>A549</w:t>
            </w:r>
            <w:r w:rsidRPr="006B598C">
              <w:rPr>
                <w:rFonts w:asciiTheme="majorBidi" w:hAnsiTheme="majorBidi" w:cstheme="majorBidi"/>
                <w:b/>
                <w:bCs/>
                <w:rtl/>
              </w:rPr>
              <w:t xml:space="preserve"> لجسيمات الذهب النانوية المعاملة بالبلازما الباردة عند اعلى تركيز </w:t>
            </w:r>
            <w:r w:rsidRPr="006B598C">
              <w:rPr>
                <w:rFonts w:asciiTheme="majorBidi" w:hAnsiTheme="majorBidi" w:cstheme="majorBidi"/>
                <w:b/>
                <w:bCs/>
              </w:rPr>
              <w:t>200ng/ml</w:t>
            </w:r>
            <w:r w:rsidRPr="006B598C">
              <w:rPr>
                <w:rFonts w:asciiTheme="majorBidi" w:hAnsiTheme="majorBidi" w:cstheme="majorBidi"/>
                <w:b/>
                <w:bCs/>
                <w:rtl/>
              </w:rPr>
              <w:t xml:space="preserve"> </w:t>
            </w:r>
            <w:r w:rsidRPr="006B598C">
              <w:rPr>
                <w:rFonts w:asciiTheme="majorBidi" w:hAnsiTheme="majorBidi" w:cstheme="majorBidi"/>
                <w:b/>
                <w:bCs/>
                <w:rtl/>
                <w:lang w:bidi="ar-IQ"/>
              </w:rPr>
              <w:t xml:space="preserve">بنسبة </w:t>
            </w:r>
            <w:r w:rsidRPr="006B598C">
              <w:rPr>
                <w:rFonts w:asciiTheme="majorBidi" w:hAnsiTheme="majorBidi" w:cstheme="majorBidi"/>
                <w:b/>
                <w:bCs/>
              </w:rPr>
              <w:t>90.36 %</w:t>
            </w:r>
            <w:r w:rsidRPr="006B598C">
              <w:rPr>
                <w:rFonts w:asciiTheme="majorBidi" w:hAnsiTheme="majorBidi" w:cstheme="majorBidi"/>
                <w:b/>
                <w:bCs/>
                <w:rtl/>
              </w:rPr>
              <w:t xml:space="preserve"> ولجسيمات الذهب المحضرة بالطريقة الخضراء بنسبة </w:t>
            </w:r>
            <w:r w:rsidRPr="006B598C">
              <w:rPr>
                <w:rFonts w:asciiTheme="majorBidi" w:hAnsiTheme="majorBidi" w:cstheme="majorBidi"/>
                <w:b/>
                <w:bCs/>
              </w:rPr>
              <w:t>78.74%</w:t>
            </w:r>
            <w:r w:rsidRPr="006B598C">
              <w:rPr>
                <w:rFonts w:asciiTheme="majorBidi" w:hAnsiTheme="majorBidi" w:cstheme="majorBidi"/>
                <w:b/>
                <w:bCs/>
                <w:rtl/>
              </w:rPr>
              <w:t xml:space="preserve"> والذهب النانوي النقي بنسبة </w:t>
            </w:r>
            <w:r w:rsidRPr="006B598C">
              <w:rPr>
                <w:rFonts w:asciiTheme="majorBidi" w:hAnsiTheme="majorBidi" w:cstheme="majorBidi"/>
                <w:b/>
                <w:bCs/>
              </w:rPr>
              <w:t>59.34%</w:t>
            </w:r>
            <w:r w:rsidRPr="006B598C">
              <w:rPr>
                <w:rFonts w:asciiTheme="majorBidi" w:hAnsiTheme="majorBidi" w:cstheme="majorBidi"/>
                <w:b/>
                <w:bCs/>
                <w:rtl/>
              </w:rPr>
              <w:t xml:space="preserve">، بينما كانت نسبة تحطيم الخلايا على الخط الخلوي الطبيعي </w:t>
            </w:r>
            <w:r w:rsidRPr="006B598C">
              <w:rPr>
                <w:rFonts w:asciiTheme="majorBidi" w:hAnsiTheme="majorBidi" w:cstheme="majorBidi"/>
                <w:b/>
                <w:bCs/>
              </w:rPr>
              <w:t>BEAS-2B</w:t>
            </w:r>
            <w:r w:rsidRPr="006B598C">
              <w:rPr>
                <w:rFonts w:asciiTheme="majorBidi" w:hAnsiTheme="majorBidi" w:cstheme="majorBidi"/>
                <w:b/>
                <w:bCs/>
                <w:rtl/>
              </w:rPr>
              <w:t xml:space="preserve"> لجسيمات الذهب النانوية المعاملة بالبلازما الباردة عند اعلى تركيز بنسبة </w:t>
            </w:r>
            <w:r w:rsidRPr="006B598C">
              <w:rPr>
                <w:rFonts w:asciiTheme="majorBidi" w:hAnsiTheme="majorBidi" w:cstheme="majorBidi"/>
                <w:b/>
                <w:bCs/>
              </w:rPr>
              <w:t>14.3%</w:t>
            </w:r>
            <w:r w:rsidRPr="006B598C">
              <w:rPr>
                <w:rFonts w:asciiTheme="majorBidi" w:hAnsiTheme="majorBidi" w:cstheme="majorBidi"/>
                <w:b/>
                <w:bCs/>
                <w:rtl/>
              </w:rPr>
              <w:t xml:space="preserve"> ولجسيمات الذهب المحضرة بالطريقة الخضراء أعطت نسبة </w:t>
            </w:r>
            <w:r w:rsidRPr="006B598C">
              <w:rPr>
                <w:rFonts w:asciiTheme="majorBidi" w:hAnsiTheme="majorBidi" w:cstheme="majorBidi"/>
                <w:b/>
                <w:bCs/>
              </w:rPr>
              <w:t>15.39%</w:t>
            </w:r>
            <w:r w:rsidRPr="006B598C">
              <w:rPr>
                <w:rFonts w:asciiTheme="majorBidi" w:hAnsiTheme="majorBidi" w:cstheme="majorBidi"/>
                <w:b/>
                <w:bCs/>
                <w:rtl/>
              </w:rPr>
              <w:t xml:space="preserve"> </w:t>
            </w:r>
            <w:r w:rsidRPr="006B598C">
              <w:rPr>
                <w:rFonts w:asciiTheme="majorBidi" w:hAnsiTheme="majorBidi" w:cstheme="majorBidi"/>
                <w:b/>
                <w:bCs/>
                <w:rtl/>
                <w:lang w:bidi="ar-IQ"/>
              </w:rPr>
              <w:t xml:space="preserve">اما الذهب النانوي النقي اعطى نسبة تحطيم </w:t>
            </w:r>
            <w:r w:rsidRPr="006B598C">
              <w:rPr>
                <w:rFonts w:asciiTheme="majorBidi" w:hAnsiTheme="majorBidi" w:cstheme="majorBidi"/>
                <w:b/>
                <w:bCs/>
              </w:rPr>
              <w:t>16.4</w:t>
            </w:r>
            <w:r w:rsidRPr="006B598C">
              <w:rPr>
                <w:rFonts w:asciiTheme="majorBidi" w:hAnsiTheme="majorBidi" w:cstheme="majorBidi"/>
                <w:b/>
                <w:bCs/>
                <w:rtl/>
              </w:rPr>
              <w:t xml:space="preserve">%. </w:t>
            </w:r>
            <w:r w:rsidRPr="006B598C">
              <w:rPr>
                <w:rFonts w:asciiTheme="majorBidi" w:hAnsiTheme="majorBidi" w:cstheme="majorBidi"/>
                <w:b/>
                <w:bCs/>
                <w:rtl/>
                <w:lang w:bidi="ar-IQ"/>
              </w:rPr>
              <w:t xml:space="preserve">لذلك نستنتج من هذه الدراسة ان الطريقة الهجينة التي استخدمت في تخليق جسيمات الذهب النانوية زادت من فعالية هذه الجسيمات واثرت بشكل أكبر على تحطيم الخلايا السرطانية   وبالتالي يمكن ان تستعمل كعوامل مضادة للسرطان جديدة لعلاج سرطان </w:t>
            </w:r>
            <w:r w:rsidRPr="006B598C">
              <w:rPr>
                <w:rFonts w:ascii="Tahoma" w:hAnsi="Tahoma" w:cs="Tahoma" w:hint="cs"/>
                <w:b/>
                <w:bCs/>
                <w:rtl/>
                <w:lang w:bidi="ar-IQ"/>
              </w:rPr>
              <w:t>﻿</w:t>
            </w:r>
            <w:r w:rsidRPr="006B598C">
              <w:rPr>
                <w:rFonts w:asciiTheme="majorBidi" w:hAnsiTheme="majorBidi" w:cstheme="majorBidi"/>
                <w:b/>
                <w:bCs/>
                <w:rtl/>
                <w:lang w:bidi="ar-IQ"/>
              </w:rPr>
              <w:t xml:space="preserve"> الرئة.</w:t>
            </w:r>
          </w:p>
          <w:p w14:paraId="2E5F7546" w14:textId="7EC460F3" w:rsidR="00D53226" w:rsidRPr="006B598C" w:rsidRDefault="00D53226" w:rsidP="00F97C67">
            <w:pPr>
              <w:pStyle w:val="NoSpacing"/>
              <w:jc w:val="both"/>
              <w:rPr>
                <w:rFonts w:asciiTheme="majorBidi" w:hAnsiTheme="majorBidi" w:cstheme="majorBidi"/>
                <w:b/>
                <w:bCs/>
                <w:sz w:val="20"/>
                <w:szCs w:val="20"/>
                <w:rtl/>
              </w:rPr>
            </w:pPr>
          </w:p>
        </w:tc>
      </w:tr>
    </w:tbl>
    <w:p w14:paraId="4B247DEA" w14:textId="77777777" w:rsidR="002F1810" w:rsidRPr="00D53226" w:rsidRDefault="002F1810" w:rsidP="006B598C"/>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765EBD"/>
    <w:multiLevelType w:val="hybridMultilevel"/>
    <w:tmpl w:val="0F6E6CB4"/>
    <w:lvl w:ilvl="0" w:tplc="29D65D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CD255B"/>
    <w:multiLevelType w:val="hybridMultilevel"/>
    <w:tmpl w:val="AD2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021166">
    <w:abstractNumId w:val="1"/>
  </w:num>
  <w:num w:numId="2" w16cid:durableId="178954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2F1810"/>
    <w:rsid w:val="003A3186"/>
    <w:rsid w:val="006B598C"/>
    <w:rsid w:val="009B26CA"/>
    <w:rsid w:val="00C66BEB"/>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8042967A-DFFB-4451-8056-190BA91FB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 w:type="paragraph" w:styleId="ListParagraph">
    <w:name w:val="List Paragraph"/>
    <w:basedOn w:val="Normal"/>
    <w:uiPriority w:val="34"/>
    <w:qFormat/>
    <w:rsid w:val="006B5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7</cp:revision>
  <dcterms:created xsi:type="dcterms:W3CDTF">2022-03-30T04:36:00Z</dcterms:created>
  <dcterms:modified xsi:type="dcterms:W3CDTF">2024-10-07T10:44:00Z</dcterms:modified>
</cp:coreProperties>
</file>